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55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музыкальная школа №1» </w:t>
      </w:r>
      <w:r>
        <w:rPr>
          <w:rFonts w:ascii="Times New Roman" w:hAnsi="Times New Roman" w:cs="Times New Roman"/>
          <w:sz w:val="28"/>
          <w:szCs w:val="28"/>
        </w:rPr>
        <w:t xml:space="preserve"> г. Новомосковск </w:t>
      </w: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55A">
        <w:rPr>
          <w:rFonts w:ascii="Times New Roman" w:hAnsi="Times New Roman" w:cs="Times New Roman"/>
          <w:sz w:val="28"/>
          <w:szCs w:val="28"/>
        </w:rPr>
        <w:t>ОСП «Сокольническая ДШИ»</w:t>
      </w: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7F" w:rsidRDefault="000A397F" w:rsidP="000A3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7F" w:rsidRDefault="00EE6990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3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«Древнейшая песнь материнства.</w:t>
      </w:r>
      <w:r w:rsidR="000A397F" w:rsidRPr="000A3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Марианизм  в </w:t>
      </w:r>
      <w:r w:rsidRPr="000A3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музыкальном искусстве</w:t>
      </w:r>
      <w:r w:rsidR="000A3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0A3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XX столетия.»</w:t>
      </w:r>
      <w:r w:rsidRPr="000A397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подготовили преподаватели: </w:t>
      </w: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Гобунова О.А., Лукутина В.А.</w:t>
      </w: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Новомосковск 2018</w:t>
      </w:r>
    </w:p>
    <w:p w:rsidR="000A397F" w:rsidRDefault="000A397F" w:rsidP="000A39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75C5" w:rsidRDefault="00EE6990" w:rsidP="000A397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699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Пресвятой Девы Марии, будучи важнейшей ипостасью художественного сознания христианской цивилизации, получила, начиная от первых столетий новой эры и до нынешнего времени, чрезвычайно широкое развитие в искусстве вообще и в музыке в частности. 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марианизм (му</w:t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зыкальное воплощение тем, свяан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 образом Пречистой Девы) — явление чрезвычайно многоплановое, выходящее далеко за рамки собственно культово-обиходной принадлежности.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 претворения в музыкальном искусстве евангельских тем и сюжетов, связанных с образом Богоматери, имели к началу XX столетия богатейшую историю, протяженностью почти в полторы тысячи лет.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Марианская тема, при кажущемся на поверхностный взгляд снижении ее актуальности для искусства новейшего времени, оказывается, тем не менее, отнюдь не на периферии творческих созиданий эпохи. Более того, вершинные явления в ряду произведений XX века, претворяющих образ Богоматери, формируют целостную картину, которая позволяет говорить о качественно новом витке в эволюции темы.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Прогнозируемый в </w:t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 XIX века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 католической музыки из фазы длительного кризиса, уже в начале следующего столетия обрел совершенно отчетливые формы. Эти процессы проявили себя как в сфере творческого поиска, так и на уровне интеллектуального осмысления перспектив католического музыкального искусства, требований, предъявляемых к нему Ватиканом, а также возможностей в плане «сотрудничества» церкви с современными композиторами. 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Сила влияния религиозно-философской мысли на французскую музыку проявилась хотя бы уже в т</w:t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ом, что духовная тематика порою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актуализировалась в творчестве композиторов, весьма далеких от сакральных образных сфер. Скажем, ярчайший представитель лирической оперы Жюль Массне (1842-1912) создает два масштабных сочинения, связанных с марианской тематикой: Священная легенда «Дева непорочная» (1880) и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опера «Жонглер Богоматери» (1904).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первом из указанных произведений религиозный сюжет передан в свойственной Массне манере непринужденного светского повествования, то в основу оперы положено средневековое мистическое действие — «мирак</w:t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ль»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Данное произведение признается исследователями одним из лучших сочинений последнего творческого периода композитора.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Небезынтересным представляется тот факт, что спустя ровно полвека после появления оперы Массне, в 1954 году, «Жонглером Богоматери» назовет себя другой французский композито</w:t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 — Франсис Пуленк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чьем творчестве образ Девы Марии будет претворен вдохновенно —- многократно и многогранно. Но творческий интерес Пуленка к религиозным темам, вызванный изменениями в мировоззрении композит</w:t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впервые заявит о себе уже в тридцатые годы XX столетия. Вместе с тем, на названном временном рубеже французское музыкальное искусство католической ориентации уже достигло значительных высот в лице таких своих представителей как П.Клодель, М.Дюпр</w:t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Ф.Мориан, Д.Мсюр ,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О.Мессиан. 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творчестве отдельных французских композиторов также претворявших в музыке католические идеи, мотивы и образы, нередки примеры полного слияния искренней религиозности и гармоничной «вписанности» в реалии современной жизни. Одним из наиболее показательных примеров в этом смысле может служить творчество ФрансисаПуленка (1899-1963) 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тем, подходы к трактовке в XX веке образа Богоматери отнюдь не исчерпывались неокатолическими тенденциями, нашедшими столь яркое преломление в музыке к</w:t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омпозиторов французской «ветви»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композитора к прочтению вечного сюжета «по-польски» реализуется в том числе</w:t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абсолютно буквально: Шиманов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берет за основу своего произведения не латинский текст гимна, а его польский перевод, выполненный Юзефом Янковским. О том, какое значение приобрел этот польский текст в создании образного строя кантаты в целом.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Шимановский весьма высоко ценил свою кантату «StabatMater», о чем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свидетельствует </w:t>
      </w:r>
      <w:r w:rsidR="009B7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одно произведение, посвященное Богоматери, «Литанию Деве Марии» (1935), Шимановский называет «очень удачной, самой глубокой, самой содержательной» своей вещью и при этом добавляет — «на</w:t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уровне "StabatMater "»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Новаторские искания композиторов в области духовной музыки, связанные с обращением к национальной традиции, к фольклорному материалу проникают также и в сферу музыкального спектакля. В аспекте нашей темы требует упоминания четырехчастный оперный цикл чешского композитора Богуслава Мартину (1890-1959) «Легенды о Марии», созданный в период с 1933 по 1935 годы. В этом цикле, сюжет которого основан на материале средневековых легенд, литургических драм и мистерий, синтезирован многовековой </w:t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художественный опыт: фольклорный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профессиональный, национальный и зарубежный, архаический 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«Легенды о Марии» — одно из звеньев в ряду музыкально-сценических воплощений архаики, отражающих, помимо прочего, тяготение XX века к «общечеловеческим», исконным, емким по своему символическому значению сюжетам.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Составляя один из важнейших пластов духовной музыки, песнопения, посвященные Богоматери, так или иначе, всегда являлись выражением некоего отвлеченно-философского религиозного размышления. 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важнейших направлений в художественных подходах XX столетия к марианской теме было определено стремлением не только запечатлевать бесспорную красоту нетленного образа, но и постигать его глубинные, быть может, не столь очевидные на поверхностный взгляд, черты. Подобного рода музыкально-философские осмысления «вечной» темы достигли своей кульминационной точки в творчестве немецкого композитора Пауля Хиндемита (1895-1963).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Многое в восприятии и особенностях художественного преломления сакрального начала унаследованы Хиндемитом от его непосредственных стилистических предшественников — Брамса, Брукнера, Регера. Для нас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представляется знаменательным тот факт, что творением, в котором композитор, по образному выражению Т.Левой, «впервые открыто признал своих предков, свою связь с корнями исторически и национально обусловленной культуры» (87; 337), стало произведение под названием «Житие Марии» (1923) — камерно-вокальное сочинение на стихи Райнера Марии Рильке.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исследователи творчества Хиндемита единодушны в своих оценках, называя «Житие Марии» одним из лучших творений композитора.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произведение приобрело огромную внутреннюю значимость для самого Хиндемита, существенно повлияв на формирование его художественных критериев. 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прочтении евангельских сюжетов, положенных в основу стихов Рильке и вокального цикла, образ древнего храма словно меркнет перед лицом маленькой девочки, поднимающейся по ступеням.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произведении, осмысливающем в музыкально-поэтических образах все важнейшие вехи в жизни Марии — от Ее Рождества до Вознесения к Сыну — трагической кульминацией предстают две песни о распятом Христе: «Перед Страстями» и «Рге1а». 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послевоенные годы, когда в западноевропейском композиторском творчестве явно обозначились художники второй половины XX столетия демонстрируют не снижающуюся потребность в постижении проблем и смысла сегодняшней жизни через приобщение к вечно существующим основам человеческого бытия. На этом направлении эволюции марианской темы связаны с творчеством польского композитора Кшиштофа</w:t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Пендерецкого (р. 1933).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произведения Пендерецкого, в которых так или иначе претворен образ Матери Христа, — «StabatMater» (1962), «Страсти по Луке» (1966) и «Magnificat» (1974) — явились судьбоносными вехами в творчестве композитора.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Пути эволюции богородичной идеи в отечественном музыкальном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искусстве, проложенные в том числе и драматическими коллизиями русской истории неотделимы от судеб русской духовной музыки в целом: тяжкие испытания, жестокие гонения, практически полное забвение после 1917 года и — возрождение, обновление и расцвет в последние два десятилетия века.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Революционные потрясения, поколебавшие самые, казалось бы, незыблемые основы российской жизни, заставили православных людей искать последние «точки опоры» в уповании на Божественную помощь и заступничество Пресвятой Богородицы.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свое продолжение русское православное искусство нашло в творчестве художников, вошедших в постреволюционную эмиграцию. А.Гречанинов, Н.Черепнин, Н.Кедров-отец и Н.Кедров-сын, А.Лабинский, М.Ковалевский — усилиями этих и многих других музыкантов поддерживалась и развивалась православная культура русского зарубежья. </w:t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Прослеживая пути эволюции богородичной темы в сочинениях композиторов </w:t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обойти вниманием творчество Игоря Стравинского (1882-1971). Великим музыкантом создано, по сути, лишь одно произведение данной тематики — хоровая миниатюра «Богородице Дево, радуйся» (1934), сочинение, которое изначально мыслилось как обиходное, предназначенное для использования его в православном богослужебном обряде</w:t>
      </w:r>
      <w:r w:rsidR="001E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в 1949 году Стравинский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создает новую, католическую версию названной композиции — «AveMaria» </w:t>
      </w:r>
      <w:r w:rsidR="00DE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советских композиторов-«первопроходцев» на пути возрождения марианской-богородичной темы, в первую очередь должны быть названными имена Алемдара</w:t>
      </w:r>
      <w:r w:rsidR="00DE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Караманова (р. 1934), Георгия Свиридова (1915-1998), Владимира Рубина (р. 1924).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творчестве названных композиторов мы находим предвосхищения таких актуализировавшихся впоследствии направлений развития темы Богоматери как: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■ отвлеченно-философское, осмысление древних марианских мотивов и включение их на уровне смысловых символов в глобальные художественные концепции (Караманов);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■ ориентированность на глубинные пласты русской культурно-исторической традиции (Свиридов);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■ эпико-монументальное прочтение русской темы в сочинениях кантатно-ораториальных жанров с использованием образов-знаков, через которые отчетливо проступает лик п</w:t>
      </w:r>
      <w:bookmarkStart w:id="0" w:name="_GoBack"/>
      <w:bookmarkEnd w:id="0"/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равославной Богоматери (Рубин).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первых произведений Караманова, в которых он совершил целенаправленный поворот своей музыки в сторону христианской проблематики, стали оратория для солистов, хора и оркестра «StabatMater» (1967) и Третий фортепианный концерт «AveMaria» (1968).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Небезынтересным представляется следующее совпадение в год создания Карамановым фортепианного концерта «AveMaria» в СССР появилось на свет еще одно масштабное сочинение с таким же названием — вокально-симфоническая фреска «AveMaria» Александра Флярковского (р. 1931) на стихи белорусского поэта Максима Танка. Центральная тема этого произведения «прочтена» авторами в однозначно атеистическом духе.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Возрождение религиозного направления, начавшееся в советской музыке шестидесятых, продолжало подспудно набирать силу и в последующие два десятилетия. К примеру, стилизованные церковные песнопения вводились в кантатно-ораториальные и оперные сочинения для создания исторического колорита (Щедрин, «Мертвые души», 1977), или характеристики «старого мира» (Свиридов, «Патетическая оратория» 1959; Слонимский, «Виринея» 1967).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первых среди советских композиторов, кто начал целенаправленное движение к возрождению богородичной темы в ее опоре на историко-культурные связи с исконно русской православной певческой практикой, был Георгий Свиридов. В его знаменитых Трех хорах из музыки к драме А.К.Толстого «Царь Федор Иоаннович» (1973) открыто использованы средневековые подлинники, в число которых вошел богородичный тропарь «Богородице Дево, радуйся» (хор «Молитва», № 1). Тонко воспринятая и точно переданная композитором аскетичная строгость звучания древнего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молитвенного песнопения (начало хора) в движении к кульминации постепенно насыщается сочностью типично свиридовских гармонических и фактурных красок.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 православной Богоматери, осеняющий внутренним — духовным светом метафорический образ Святой Руси, проступал в сочинениях, развивающих не религиозные, но историко-философские, былинные «русские» сюжеты.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из создаваемых в 1980-е годы сочинений демонстрировали все более активное насыщение музыкальной лексики советских композиторов теологическими мотивами, образами, символами, с включением традиций, сформированных разными конфессиями. Ярким примером в этом смысле служит твор</w:t>
      </w:r>
      <w:r w:rsidR="00DE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чество Альфреда Шнитке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двух, созданных композитором в 1984 году, сочинениях — «Три духовных хора» и Четвертая симфония — тема Богоматери получила весьма разноплановое претворение.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«Богородице Дево, радуйся» (№ 1 из «Трех духовных хоров») Шнитке опирается на традиции православной музыки, то основой замысла Четвертой симфонии стала идея «розария» — католического молитвословия, связанного с Пятнадцатью</w:t>
      </w:r>
      <w:r w:rsidR="00DE1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таинствами из жизни Христа и Девы Марии.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коснуться совершенно особой сферы бытования в конце XX века библейских, в том числе богородичных тематических мотивов, а именно — музыкально-драматических жанров, стилистически связанных с рок-музыкой. Не останавливаясь сколько-нибудь детально на этом вопросе, имея в виду его большую специфичность, назовем все же одно произведение, в котором образу Богоматери посвящены многие вдохновенные страницы — опера Алексея Рыбникова (р. 1945) «"Юнона" и "Авось"» (1980).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Таким  образом,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признаки «жизнеспособности» богородичной темы в русском музыкальном искусстве второй половины XX столетия проявились задолго до памятного 1988 года, который стал своеобразным стартовым рубежом стремительного нарастания композиторского интереса к названой тематике (как и к духовной музыке в целом). Меняющаяся политическая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атмосфера в стране сделала реально осуществимыми перспективы творческой самореализации художников на путях освоения ими теософических сфер. Образ Богоматери представляется абсолютно естествен-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ным, стал одним из центральных во многих новых произведениях, проникнутых сакральными идеями и смыслами.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видятся закономерными и отмечаемые исследователями духовной музыки восьмидесятых-девяностых годов процессы ее непрерывного жанрового обновления. Кроме того, становятся нередкими попытки композиторов (иногда убедительные, иногда весьма спорные) в трактовке религиозных тем отойти от канона с тем, чтобы создать свою музыкальную концепцию.</w:t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хронологической близости к дате 1000-летнего юбилея Крещения Руси, одним из первых произведений должна быть названа Шестая симфония («Литургическая») Андрея Эшп</w:t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(р. 1925).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Необычны как форма, так и исполнительский состав сочинения. Хоровая часть основана на текстах «Первого послания коринфянам святого апостола Павла» (из 13 главы), а также текстах песнопений «Чашу спасения прииму» и знаменного распева «Пресвятой Богородицы»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Последнее десятилетие XX столетия в развитии темы Пресвятой Девы Марии было ознаменовано как появлением огромного числа богородичных песнопений, ориентированных на литургическую православную традицию.</w:t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ряду имен современных композиторов, опирающихся при сочинении духовной музыки преимущественно на основы, заложенные православным певческим искусством, могут быть названы имена Н.Сидельникова, Ю.Буцко, В.Кикты, В.Мартынова, А.Киселева и многих других. Скажем, и в позднейших духовных сочинениях одного из «первопроходцев» на этом пути, Свиридова, православный образ Пресвятой Богородицы занимает должное место, определяемое особенностями исконно русской ментальности.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знаменитых свиридовских хоровых циклах, увидевших свет в 1992-93 годах, «Неизреченное чудо» и «Песнопения и молитвы» обнаруживается прямая и последовательная преемственность в музыкально-религиозном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мышлении композитора, которые заявили о себе еще в 1973 году. Серьезная торжественность «Богородице Дево, радуйся» из «Царя Федора Иоанновича», лирическая одухотворенность «строгого и нежного Andante» гимна «Достойно есть» из «Неизреченного чуда», яркий свет внутреннего ликования «Величания Богородицы» из «Песнопений и молитв» — все это грани одного, с любовью запечатленного Свиридовым прекрасного лика Покровительницы Святой Руси.</w:t>
      </w:r>
      <w:r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Явлением, значимость которого для эволюции и перспектив развития в музыке богородичной темы нельзя переоценить, явилась заметная активизация упоминавшихся выше процессов жанрового обновления концертной духовной музыки — например, к одному из таких специфических жанров Ю.Паисов относит «музык</w:t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альные жития» святых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A7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обиходный литургический богородичный гимн «Достойно есть» приобретает новый смысловой ракурс, когда становится составной частью духовной оратории Эдисона Денисова (р. 1929) «История жизни и смерти Господа нашего Иисуса Христа» .</w:t>
      </w:r>
    </w:p>
    <w:p w:rsidR="00885A0B" w:rsidRDefault="004A75C5" w:rsidP="000A397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 итоге,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мощный жанрово-стилистический пласт русской духовной музыки, который был сформирован из произведений локально богородичной тематики, к концу XX столетия еще более расширяется за счет активного включения композиторами образа Богоматери в новые для него сюжетно-тематические сферы. эта мысль подтверждается в трактовке традиционного жанра покаянных псалмов в произведении Рубина «Песнь Восхождения» (1999).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уже отмечалось выше, библейский образ Матери и Сына «актуализировался» в творчестве Рубина еще в юношеские годы композитора. В «Песни Восхождения» напрямую, без метафор, художник обращается к Пресвятой Богородице.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многочисленных творений отечественного музыкального искусства, в которых тема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Марии прочитывалась в «право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городичном» ключе, в последние годы XX века не был утрачен интерес и к марианской, т.е. в основе своей западно-католической, традиции. Приведем только некоторые примеры подобных сочинений: «Salve</w:t>
      </w:r>
      <w:r w:rsidR="0011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Regina» В.Птушкина (1997), «StabatMater» В.Пальчуна (1999), «AveMaria» Е.Подгайца (премьера состоялась в 2000 году). Совершенно очевидно, что обращение российских композиторов к языку и символике иной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христианской конфессии в большинстве своем есть отражение той же, свойственной XX столетию, «интернационализации» художественного мышления.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ряду музыкальных сочинений, подводящих своеобразный итог XX столетия в эволюции марианской идеи на российской почве, знаменательным явлением стало появление монументального вокально-симфонического произведения Елены Гохман «AveMaria» (2001) в пяти частях, жанр которого сама композитор определяет как «Библейские фрески».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Матери, отразивший Ее глазами судьбу Сына — такова главная идея произведения, которая, в свою очередь, обусловливает как многие из особенностей композиционного строения фресок и специфику в подходе к использованию католических текстов, так и широту спектра стилеобразующих компонентов сочинения. Подобно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тому, как в «Житии.» Денисова или «Русских страстях» Ларина соединились Рождественская, Страстная и Пасхальная сюжетные линии, в «AveMaria» Гохман, образуя единую образно-философскую концепцию, переплелись тематические мотивы Благовещения, Рождества Христова, Его Распятия и Вознесения.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концу XX столетия процессы жанрового обновления отечественной внецерковной духовной музыки были отмечены весьма высокой степенью интенсивности. Быть может, приближение к рубежу веков, рубежу тысячелетий, а также ко впечатляющей своей грандиозностью дате 2000-летия христианства явилось для многих российских композиторов дополнительным побудительным импульсом к поиску ими новых форм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художественного осмысления вечных вопросов человеческого бытия: жизни и смерти, греха и покаяния, утраты и обретения идеалов. Образ же Богоматери — прошедшее через века воплощение Красоты и Мудрости, Доброты и Утешения — просто не мог не быть включенным в орбиту музыкально-теософических</w:t>
      </w:r>
      <w:r w:rsidR="00115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исканий композиторов новейшего времени.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наиболее существенные особенности эволюции темы Богоматери в мировом музыкальном искусстве, можно сделать следующие выводы: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■ образу Богоматери в ряду так называемых «вечных» образов принадлежит одно из центральных мест. Масштаб «звучания» марианской идеи, из века в век творчески осмысливавшейся человечеством, убеждает в непреходящей значимости этой темы;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■ образ Девы Марии, как носитель «стержневых» основ человеческого духа, в художественной интерпретации разных эпох остается идеалом, соединяющем близкие (материнские) и в то же время непостижимые (Божественные, идеальные, космические) качества: Любовь и Милосердие, Мудрость и Красота, Утешение и Свет;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■ в силу присущего Богоматери дуализма (наделенности и человеческой и Божественной природой) человечество в разные периоды эволюции находило в Ее образе этико-эстетический, духовный ориентир как в своих теоцентриче-ских, так и антропоцентрических исканиях;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■ актуализация сакральной образности, наблюдаемая на исходе XX столетия, дает основания полагать, что и в будущих, развиваемых в русле духовной тематики, музыкальных интерпретациях образа Богоматери, будут удерживаться его «корневые», константные основы. Вместе с тем, пребывая в контексте новых исторических условий, трактовка образ</w:t>
      </w:r>
      <w:r w:rsidR="0011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Пресвятой Богородицы </w:t>
      </w:r>
      <w:r w:rsidR="00EE6990" w:rsidRPr="00EE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будет, несомненно, получать новые ракурсы, раскрывать новые грани и дополняться новыми нюансами этой вечной и великой темы мировой культуры человечества.</w:t>
      </w:r>
    </w:p>
    <w:p w:rsidR="00FB7BE2" w:rsidRDefault="00FB7BE2" w:rsidP="00FB7BE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 литературы</w:t>
      </w:r>
    </w:p>
    <w:p w:rsidR="00FB7BE2" w:rsidRPr="00FB7BE2" w:rsidRDefault="00FB7BE2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Аберт</w:t>
      </w:r>
      <w:r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В.А. Моцарт /пер. с нем., ч. 1. к</w:t>
      </w:r>
      <w:r w:rsid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1. - М.: Музыка, 1987.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Акафисты Пресвятой Богородице / кн. 4. Изд. Задонского Бого-родицкого монастыря (по благословению Епископа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адонского Никона), 1997.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Асафьев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Русская музыка (XIX и начало XX века), изд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2-е. Л.: Музыка, 1979.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Батюк И. Современная хоровая музыка: теория и исполнение / очерки. М.: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МГК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1999.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Бердяев Н. Судьба России. М.: Философское общество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СССР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</w:t>
      </w:r>
    </w:p>
    <w:p w:rsidR="00FB7BE2" w:rsidRPr="00FB7BE2" w:rsidRDefault="00FB7BE2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Библейская энциклопедия /цензор Протоирей Симеон В</w:t>
      </w:r>
      <w:r w:rsid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ишняков. -М.: Терра, 1991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Бражников М. Лица и фиты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знаменного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аспева. Л.: Музыка, 1984.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Ванслов В. Изобразительное искусство и музыка. Л.: Художник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РСФСР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1983.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Владимирцева Н. Христианские мотивы в хоровой музыке современных российских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композиторов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ст. в сб.: Художественное образование, вып. 2. Саратов: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СГК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2000.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Волынский Э. Кароль 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ановский. М.: Музыка, 1974.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Григорианский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хорал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сб. науч. трудов МГК им. П.И.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Чайковского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сост. Т.Кюрегян,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Ю.Москва. М.: МГК, 1997.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Грубер Р. История музыкальной культуры / т. II, ч. 1.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Гос. муз. изд-во, 1953.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Дубинец Е. Знаки стиля Ю.Буцко.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Знаменный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 в XX веке. -Му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академия, 1993, №1.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Евдокимова Ю. История полифонии.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Многоголосие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Средневековья (Х-Х^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века). М.: Музыка, 1983.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Евдокимова Ю. Музыка эпохи Возрождения / История полифонии,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2А. -М.: Музыка, 1989.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Евдокимова Ю., Симакова Н. Музыка эпохи Возрождения (саЫш рпих/асШя и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ним). М.: Музыка, 1982. </w:t>
      </w:r>
    </w:p>
    <w:p w:rsidR="00FB7BE2" w:rsidRPr="00FB7BE2" w:rsidRDefault="00F439F7" w:rsidP="00F439F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Искусство XX века: уходящая эпоха? / сб. статей, т. II. Н. Новгород:</w:t>
      </w:r>
      <w:r w:rsidR="00FB7BE2" w:rsidRPr="00F4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7BE2" w:rsidRPr="00F439F7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>НТК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ин-т Открытое общество, 1997. </w:t>
      </w:r>
    </w:p>
    <w:p w:rsidR="00FB7BE2" w:rsidRPr="00FB7BE2" w:rsidRDefault="00F439F7" w:rsidP="00F439F7">
      <w:pPr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B7BE2" w:rsidRPr="00FB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Искусство на рубежах веков / материалы Международ, научн. конфер., научн. ред. А.Цукер </w:t>
      </w:r>
    </w:p>
    <w:p w:rsidR="00FB7BE2" w:rsidRPr="00EE6990" w:rsidRDefault="00FB7BE2" w:rsidP="00F439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7BE2" w:rsidRPr="00EE6990" w:rsidSect="0008651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79" w:rsidRDefault="00E45579" w:rsidP="00EE6990">
      <w:pPr>
        <w:spacing w:after="0" w:line="240" w:lineRule="auto"/>
      </w:pPr>
      <w:r>
        <w:separator/>
      </w:r>
    </w:p>
  </w:endnote>
  <w:endnote w:type="continuationSeparator" w:id="1">
    <w:p w:rsidR="00E45579" w:rsidRDefault="00E45579" w:rsidP="00EE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342876"/>
      <w:docPartObj>
        <w:docPartGallery w:val="Page Numbers (Bottom of Page)"/>
        <w:docPartUnique/>
      </w:docPartObj>
    </w:sdtPr>
    <w:sdtContent>
      <w:p w:rsidR="00EE6990" w:rsidRDefault="00086517">
        <w:pPr>
          <w:pStyle w:val="a5"/>
          <w:jc w:val="right"/>
        </w:pPr>
        <w:r>
          <w:fldChar w:fldCharType="begin"/>
        </w:r>
        <w:r w:rsidR="00EE6990">
          <w:instrText>PAGE   \* MERGEFORMAT</w:instrText>
        </w:r>
        <w:r>
          <w:fldChar w:fldCharType="separate"/>
        </w:r>
        <w:r w:rsidR="00F439F7">
          <w:rPr>
            <w:noProof/>
          </w:rPr>
          <w:t>14</w:t>
        </w:r>
        <w:r>
          <w:fldChar w:fldCharType="end"/>
        </w:r>
      </w:p>
    </w:sdtContent>
  </w:sdt>
  <w:p w:rsidR="00EE6990" w:rsidRDefault="00EE69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79" w:rsidRDefault="00E45579" w:rsidP="00EE6990">
      <w:pPr>
        <w:spacing w:after="0" w:line="240" w:lineRule="auto"/>
      </w:pPr>
      <w:r>
        <w:separator/>
      </w:r>
    </w:p>
  </w:footnote>
  <w:footnote w:type="continuationSeparator" w:id="1">
    <w:p w:rsidR="00E45579" w:rsidRDefault="00E45579" w:rsidP="00EE6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96E"/>
    <w:rsid w:val="00086517"/>
    <w:rsid w:val="000A397F"/>
    <w:rsid w:val="001159B2"/>
    <w:rsid w:val="001E0F1B"/>
    <w:rsid w:val="002E1EB5"/>
    <w:rsid w:val="004A75C5"/>
    <w:rsid w:val="005A296E"/>
    <w:rsid w:val="00885A0B"/>
    <w:rsid w:val="009B7DB9"/>
    <w:rsid w:val="00DE12EB"/>
    <w:rsid w:val="00E45579"/>
    <w:rsid w:val="00EE6990"/>
    <w:rsid w:val="00F439F7"/>
    <w:rsid w:val="00FB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990"/>
  </w:style>
  <w:style w:type="paragraph" w:styleId="a5">
    <w:name w:val="footer"/>
    <w:basedOn w:val="a"/>
    <w:link w:val="a6"/>
    <w:uiPriority w:val="99"/>
    <w:unhideWhenUsed/>
    <w:rsid w:val="00EE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990"/>
  </w:style>
  <w:style w:type="paragraph" w:styleId="a7">
    <w:name w:val="Normal (Web)"/>
    <w:basedOn w:val="a"/>
    <w:uiPriority w:val="99"/>
    <w:semiHidden/>
    <w:unhideWhenUsed/>
    <w:rsid w:val="00FB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BE2"/>
  </w:style>
  <w:style w:type="character" w:customStyle="1" w:styleId="hl">
    <w:name w:val="hl"/>
    <w:basedOn w:val="a0"/>
    <w:rsid w:val="00FB7BE2"/>
  </w:style>
  <w:style w:type="character" w:styleId="a8">
    <w:name w:val="Hyperlink"/>
    <w:basedOn w:val="a0"/>
    <w:uiPriority w:val="99"/>
    <w:semiHidden/>
    <w:unhideWhenUsed/>
    <w:rsid w:val="00FB7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2018-10-08T18:37:00Z</dcterms:created>
  <dcterms:modified xsi:type="dcterms:W3CDTF">2018-10-15T10:04:00Z</dcterms:modified>
</cp:coreProperties>
</file>