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58" w:rsidRDefault="00767E58" w:rsidP="00767E58">
      <w:pPr>
        <w:pStyle w:val="PreformattedText"/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«Под знаками креста и полумесяца». Царица Тамара.</w:t>
      </w:r>
    </w:p>
    <w:p w:rsidR="00767E58" w:rsidRDefault="00767E58" w:rsidP="00767E58">
      <w:pPr>
        <w:pStyle w:val="PreformattedText"/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67E58" w:rsidRDefault="00767E58" w:rsidP="00767E58">
      <w:pPr>
        <w:pStyle w:val="PreformattedText"/>
        <w:ind w:left="567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Авторы: Молочникова И.Н.; Глок С.</w:t>
      </w:r>
    </w:p>
    <w:p w:rsidR="00767E58" w:rsidRDefault="00767E58" w:rsidP="00767E58">
      <w:pPr>
        <w:pStyle w:val="PreformattedText"/>
        <w:ind w:left="567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Иллюстрация - И.С. Сарсков </w:t>
      </w:r>
    </w:p>
    <w:p w:rsidR="00767E58" w:rsidRDefault="00767E58" w:rsidP="00767E58">
      <w:pPr>
        <w:pStyle w:val="PreformattedTex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«Фантазия на грузинскую и     </w:t>
      </w:r>
    </w:p>
    <w:p w:rsidR="00767E58" w:rsidRDefault="00767E58" w:rsidP="00767E58">
      <w:pPr>
        <w:pStyle w:val="PreformattedText"/>
        <w:ind w:left="567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армянскую темы»</w:t>
      </w:r>
    </w:p>
    <w:p w:rsidR="00767E58" w:rsidRDefault="00767E58" w:rsidP="00767E58">
      <w:pPr>
        <w:pStyle w:val="PreformattedText"/>
        <w:ind w:left="567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исполняет камерный ансамбль  «Отрада».</w:t>
      </w:r>
    </w:p>
    <w:p w:rsidR="00767E58" w:rsidRDefault="00767E58" w:rsidP="00767E58">
      <w:pPr>
        <w:pStyle w:val="PreformattedText"/>
        <w:ind w:left="567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Соло на Дарбуке- Глок С.Д.</w:t>
      </w:r>
    </w:p>
    <w:p w:rsidR="00767E58" w:rsidRDefault="00767E58" w:rsidP="00767E58">
      <w:pPr>
        <w:pStyle w:val="PreformattedText"/>
        <w:ind w:left="567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Видеоряд Молибоженко А.В.</w:t>
      </w:r>
    </w:p>
    <w:p w:rsidR="00767E58" w:rsidRDefault="00767E58" w:rsidP="00767E58">
      <w:pPr>
        <w:pStyle w:val="PreformattedText"/>
        <w:shd w:val="clear" w:color="auto" w:fill="FFFFFF"/>
        <w:spacing w:line="360" w:lineRule="auto"/>
        <w:jc w:val="right"/>
        <w:rPr>
          <w:rFonts w:ascii="Liberation Serif" w:hAnsi="Liberation Serif"/>
          <w:color w:val="333333"/>
          <w:sz w:val="28"/>
          <w:szCs w:val="28"/>
        </w:rPr>
      </w:pPr>
    </w:p>
    <w:p w:rsidR="00767E58" w:rsidRDefault="00767E58" w:rsidP="00767E58">
      <w:pPr>
        <w:pStyle w:val="Standard"/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767E58" w:rsidRDefault="00767E58" w:rsidP="00767E58">
      <w:pPr>
        <w:pStyle w:val="Standard"/>
        <w:shd w:val="clear" w:color="auto" w:fill="FFFFFF"/>
        <w:spacing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ПОД ЗНАКАМИ КРЕСТА И ПОЛУМЕСЯЦА.</w:t>
      </w:r>
    </w:p>
    <w:p w:rsidR="00767E58" w:rsidRDefault="00767E58" w:rsidP="00767E58">
      <w:pPr>
        <w:pStyle w:val="Standard"/>
        <w:shd w:val="clear" w:color="auto" w:fill="FFFFFF"/>
        <w:jc w:val="center"/>
        <w:rPr>
          <w:color w:val="333333"/>
          <w:sz w:val="28"/>
          <w:szCs w:val="28"/>
        </w:rPr>
      </w:pPr>
    </w:p>
    <w:p w:rsidR="00767E58" w:rsidRDefault="00767E58" w:rsidP="00767E58">
      <w:pPr>
        <w:pStyle w:val="Standard"/>
        <w:shd w:val="clear" w:color="auto" w:fill="F9F9F9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«Перлы уст её румяных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br/>
        <w:t>под рубиновым покровом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br/>
        <w:t>Даже камень разбивают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br/>
        <w:t>мягким молотом свинцовым!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br/>
        <w:t>Косы царственной — агаты,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br/>
        <w:t>ярче лалов жар ланит.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br/>
        <w:t>Упивается нектаром тот,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br/>
        <w:t>кто солнце лицезрит.»</w:t>
      </w:r>
    </w:p>
    <w:p w:rsidR="00767E58" w:rsidRDefault="00767E58" w:rsidP="00767E58">
      <w:pPr>
        <w:pStyle w:val="Standard"/>
        <w:shd w:val="clear" w:color="auto" w:fill="F9F9F9"/>
        <w:spacing w:line="360" w:lineRule="auto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</w:p>
    <w:p w:rsidR="00767E58" w:rsidRDefault="00767E58" w:rsidP="00767E58">
      <w:pPr>
        <w:pStyle w:val="Standard"/>
        <w:shd w:val="clear" w:color="auto" w:fill="F9F9F9"/>
      </w:pPr>
      <w:r>
        <w:rPr>
          <w:rFonts w:eastAsia="Times New Roman" w:cs="Arial"/>
          <w:iCs/>
          <w:color w:val="000000"/>
          <w:sz w:val="28"/>
          <w:szCs w:val="28"/>
          <w:lang w:eastAsia="ru-RU"/>
        </w:rPr>
        <w:t xml:space="preserve">   Эти строки великого грузинского поэта Шота Руставели посвящены царице Тамар, которая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причислена к лику святых.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Когда точно родилась великая царица Грузии Тамар,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которую у нас принято называть </w:t>
      </w:r>
      <w:r>
        <w:rPr>
          <w:rFonts w:eastAsia="Times New Roman" w:cs="Arial"/>
          <w:color w:val="000000"/>
          <w:sz w:val="28"/>
          <w:szCs w:val="28"/>
          <w:lang w:eastAsia="ru-RU"/>
        </w:rPr>
        <w:t>Тамарой на русский манер, — неизвестно. По предположениям историков она появилась на свет около 1165 года.</w:t>
      </w:r>
    </w:p>
    <w:p w:rsidR="00767E58" w:rsidRDefault="00767E58" w:rsidP="00767E58">
      <w:pPr>
        <w:pStyle w:val="Standard"/>
        <w:shd w:val="clear" w:color="auto" w:fill="FFFFFF"/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Именно с этой   исторической личностью связана эпоха Возрождения в Грузии. К моменту ее вступления на престол, государство обладало сравнительно небольшой территорией, за короткий срок эта царственная воительница сумела пр</w:t>
      </w:r>
      <w:r>
        <w:rPr>
          <w:rFonts w:eastAsia="Times New Roman" w:cs="Arial"/>
          <w:color w:val="000000"/>
          <w:sz w:val="28"/>
          <w:szCs w:val="28"/>
          <w:lang w:eastAsia="ru-RU"/>
        </w:rPr>
        <w:t>исоединить большие территории и</w:t>
      </w:r>
      <w:r>
        <w:rPr>
          <w:rFonts w:eastAsia="Times New Roman" w:cs="Arial"/>
          <w:color w:val="000000"/>
          <w:sz w:val="28"/>
          <w:szCs w:val="28"/>
          <w:lang w:eastAsia="ru-RU"/>
        </w:rPr>
        <w:t>, что немаловажно, по ним пролегал Великий шелковый путь.</w:t>
      </w:r>
      <w:r>
        <w:rPr>
          <w:color w:val="333333"/>
          <w:sz w:val="28"/>
          <w:szCs w:val="28"/>
        </w:rPr>
        <w:t xml:space="preserve">  Вырвавш</w:t>
      </w:r>
      <w:r>
        <w:rPr>
          <w:color w:val="333333"/>
          <w:sz w:val="28"/>
          <w:szCs w:val="28"/>
        </w:rPr>
        <w:t xml:space="preserve">ись из холодных ущелий Памира, </w:t>
      </w:r>
      <w:r>
        <w:rPr>
          <w:color w:val="333333"/>
          <w:sz w:val="28"/>
          <w:szCs w:val="28"/>
        </w:rPr>
        <w:t xml:space="preserve">эта </w:t>
      </w:r>
      <w:r>
        <w:rPr>
          <w:rFonts w:ascii="Times New Roman" w:hAnsi="Times New Roman" w:cs="Times New Roman"/>
          <w:color w:val="333333"/>
          <w:sz w:val="28"/>
          <w:szCs w:val="28"/>
        </w:rPr>
        <w:t>древняя торговая артерия, разбегалась тысячами дорог. Караваны шли к богатым городам Хорезма и далее, через пустыни к Волге, на Русь к Балтике. Другие пересекали Иран и тянулись в Закавказье, где их ждали в Гянже, Дербенте, Тбилиси. Оттуда они направлялись к Черному морю, Генуе, Византии. На всем своем пути Великий шелковый путь оказывался на просторах мусульманского мира. Миновать его было невозможно, мусульманам принадлежало подавляющее большинство товаров, да и караванов.  Ислам был религией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воспевающей движение, экспансию – военную и торговую.</w:t>
      </w:r>
      <w:r>
        <w:rPr>
          <w:color w:val="333333"/>
          <w:sz w:val="28"/>
          <w:szCs w:val="28"/>
        </w:rPr>
        <w:t xml:space="preserve">  Присоединив сельджукские территории, часть из которых полностью входили в Грузинское царство, некоторые как</w:t>
      </w:r>
      <w:r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то очень важный торгово-стратегический узел Гянжа, стали данниками.</w:t>
      </w:r>
    </w:p>
    <w:p w:rsidR="00767E58" w:rsidRDefault="00767E58" w:rsidP="00767E58">
      <w:pPr>
        <w:pStyle w:val="Standard"/>
        <w:shd w:val="clear" w:color="auto" w:fill="F9F9F9"/>
        <w:spacing w:before="193" w:after="193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 Тамар правила смело и справедливо, чем снискала уважение у всего грузинского народа. Весть о мудрой молодой царице облетела все ближайшие государства. Страна грузинской царицы процветала и за короткое время стала одной из богатейших держав того времени. О Тамар слагали легенды, воспевали её красоту, великодушие и мудрость.</w:t>
      </w:r>
    </w:p>
    <w:p w:rsidR="00767E58" w:rsidRDefault="00767E58" w:rsidP="00767E58">
      <w:pPr>
        <w:pStyle w:val="Standard"/>
        <w:shd w:val="clear" w:color="auto" w:fill="FFFFFF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Правительница строила крепости, дороги, корабли и школы. Она приглашала лучших учёных, поэтов, философов, историков и богословов. Религиозных притеснений не было, поэтому такое мусульманское учение, как Ахи, включающее в себя ислам, буддизм и христианство, быстро распространялось.  Да и как бы мог существовать торговый путь, без религиозной терпимости?! А этот фактор в свою очередь влиял на процесс взаимопроникновение культур.</w:t>
      </w:r>
    </w:p>
    <w:p w:rsidR="00767E58" w:rsidRDefault="00767E58" w:rsidP="00767E58">
      <w:pPr>
        <w:pStyle w:val="Standard"/>
        <w:shd w:val="clear" w:color="auto" w:fill="FFFFFF"/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В эти благоприятные для искусства времена жили многие талантливые поэты, но среди них два величайших поэта Востока: </w:t>
      </w:r>
      <w:r>
        <w:rPr>
          <w:rFonts w:eastAsia="Times New Roman" w:cs="Arial"/>
          <w:color w:val="333333"/>
          <w:sz w:val="28"/>
          <w:szCs w:val="28"/>
          <w:lang w:eastAsia="ru-RU"/>
        </w:rPr>
        <w:t>Ильяс Ибн Юсуф Низами (автор Лейли и Меджнун) и Шо</w:t>
      </w:r>
      <w:r>
        <w:rPr>
          <w:rFonts w:eastAsia="Times New Roman" w:cs="Arial"/>
          <w:color w:val="333333"/>
          <w:sz w:val="28"/>
          <w:szCs w:val="28"/>
          <w:lang w:eastAsia="ru-RU"/>
        </w:rPr>
        <w:t>та Руставелли — визирь царицы (</w:t>
      </w:r>
      <w:r>
        <w:rPr>
          <w:rFonts w:eastAsia="Times New Roman" w:cs="Arial"/>
          <w:color w:val="333333"/>
          <w:sz w:val="28"/>
          <w:szCs w:val="28"/>
          <w:lang w:eastAsia="ru-RU"/>
        </w:rPr>
        <w:t>автор Витязя в тигровой шкуре)</w:t>
      </w:r>
    </w:p>
    <w:p w:rsidR="00767E58" w:rsidRDefault="00767E58" w:rsidP="00767E58">
      <w:pPr>
        <w:pStyle w:val="Standard"/>
        <w:shd w:val="clear" w:color="auto" w:fill="FFFFFF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Ко времени воцарения Тамар, музыкальная культура Грузии была уже практически оформлена. Чарующее многоголосие церковного христианского богослужения множилось и украшалось н</w:t>
      </w:r>
      <w:r>
        <w:rPr>
          <w:rFonts w:eastAsia="Times New Roman" w:cs="Arial"/>
          <w:color w:val="000000"/>
          <w:sz w:val="28"/>
          <w:szCs w:val="28"/>
          <w:lang w:eastAsia="ru-RU"/>
        </w:rPr>
        <w:t>а бытовом уровне. Именно в этот</w:t>
      </w:r>
      <w:r>
        <w:rPr>
          <w:rFonts w:eastAsia="Times New Roman" w:cs="Arial"/>
          <w:color w:val="000000"/>
          <w:sz w:val="28"/>
          <w:szCs w:val="28"/>
          <w:lang w:eastAsia="ru-RU"/>
        </w:rPr>
        <w:t>,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казалось бы</w:t>
      </w:r>
      <w:r>
        <w:rPr>
          <w:rFonts w:eastAsia="Times New Roman" w:cs="Arial"/>
          <w:color w:val="000000"/>
          <w:sz w:val="28"/>
          <w:szCs w:val="28"/>
          <w:lang w:eastAsia="ru-RU"/>
        </w:rPr>
        <w:t>,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уже завершенный кристалл, вторглась не менее древняя музыкальная культура Востока – одноголосная, со скупым незатейливым аккомпанементом, но с будоражащими ритмами ударных инструментов. Эти две ветви человеческой культуры стали сплетаться, скрещиваться и прорастать изумительными по красоте музыкальными шедеврами.</w:t>
      </w:r>
    </w:p>
    <w:p w:rsidR="00767E58" w:rsidRPr="00767E58" w:rsidRDefault="00767E58" w:rsidP="00767E58">
      <w:pPr>
        <w:pStyle w:val="Standard"/>
        <w:shd w:val="clear" w:color="auto" w:fill="FFFFFF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После кончины Тамар Грузия стала быстро терять своё могущество. Годы процветания сменили тяжёлые годы монголо-татарского ига, затем власть над страной захватила Турция.</w:t>
      </w:r>
    </w:p>
    <w:p w:rsidR="00767E58" w:rsidRDefault="00767E58" w:rsidP="00767E58">
      <w:pPr>
        <w:pStyle w:val="Standard"/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67E58" w:rsidRPr="00767E58" w:rsidRDefault="00767E58" w:rsidP="00767E58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Список литературы.</w:t>
      </w:r>
    </w:p>
    <w:p w:rsidR="00767E58" w:rsidRDefault="00767E58" w:rsidP="00767E58">
      <w:pPr>
        <w:pStyle w:val="Standard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 Григорьев В.В. Восточный или Китайский Туркестан. СПб, 1873.</w:t>
      </w:r>
    </w:p>
    <w:p w:rsidR="00767E58" w:rsidRDefault="00767E58" w:rsidP="00767E58">
      <w:pPr>
        <w:pStyle w:val="Standard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Даркевич В.П. Византия и Восток // СА 1991 №3.</w:t>
      </w:r>
    </w:p>
    <w:p w:rsidR="00767E58" w:rsidRDefault="00767E58" w:rsidP="00767E58">
      <w:pPr>
        <w:pStyle w:val="Standard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 Иерусалимская А.А. К вопросу о связях Союза с Византией и Египтом «Народов Азии и Африки» - 1967, №3.</w:t>
      </w:r>
    </w:p>
    <w:p w:rsidR="00767E58" w:rsidRDefault="00767E58" w:rsidP="00767E58">
      <w:pPr>
        <w:pStyle w:val="Standard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 Лубо-Лесниченко «Китай на Шёлковом пути», М. 1994.</w:t>
      </w:r>
    </w:p>
    <w:p w:rsidR="00767E58" w:rsidRDefault="00767E58" w:rsidP="00767E58">
      <w:pPr>
        <w:pStyle w:val="Standard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 Пигулевская Н.В. Византия на пути в Индию. М-Л. 1961.</w:t>
      </w:r>
    </w:p>
    <w:p w:rsidR="00767E58" w:rsidRDefault="00767E58" w:rsidP="00767E58">
      <w:pPr>
        <w:pStyle w:val="Standard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 Ставинский Б.Ф. О международных связях Средней Азии в V - сер. XIII в. // Проблемы востоковеденья. М., 1960, №5.</w:t>
      </w:r>
    </w:p>
    <w:p w:rsidR="00767E58" w:rsidRDefault="00767E58" w:rsidP="00767E58">
      <w:pPr>
        <w:pStyle w:val="Standard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7. Ахметшин Н.Х. Тайны Шёлкового пути. М., 2002.</w:t>
      </w:r>
    </w:p>
    <w:p w:rsidR="00767E58" w:rsidRDefault="00767E58" w:rsidP="00767E58">
      <w:pPr>
        <w:pStyle w:val="Standard"/>
        <w:shd w:val="clear" w:color="auto" w:fill="FFFFFF"/>
      </w:pPr>
      <w:r>
        <w:rPr>
          <w:sz w:val="28"/>
          <w:szCs w:val="28"/>
        </w:rPr>
        <w:t>8. Ан.Тб.ГрузССР; «История восхваления венценосцев». Тбилисси 1954 г.</w:t>
      </w:r>
    </w:p>
    <w:p w:rsidR="00767E58" w:rsidRDefault="00767E58" w:rsidP="00767E58">
      <w:pPr>
        <w:pStyle w:val="Standard"/>
        <w:shd w:val="clear" w:color="auto" w:fill="FFFFFF"/>
        <w:rPr>
          <w:sz w:val="28"/>
          <w:szCs w:val="28"/>
        </w:rPr>
        <w:sectPr w:rsidR="00767E58">
          <w:pgSz w:w="11906" w:h="16838"/>
          <w:pgMar w:top="1134" w:right="707" w:bottom="1134" w:left="1134" w:header="720" w:footer="720" w:gutter="0"/>
          <w:cols w:space="720"/>
        </w:sectPr>
      </w:pPr>
      <w:r>
        <w:rPr>
          <w:sz w:val="28"/>
          <w:szCs w:val="28"/>
        </w:rPr>
        <w:t>9. Басовская Н. Лекция «Царица Тамара.Величие и святость»</w:t>
      </w:r>
      <w:bookmarkStart w:id="0" w:name="_GoBack"/>
      <w:bookmarkEnd w:id="0"/>
    </w:p>
    <w:p w:rsidR="00E42E74" w:rsidRDefault="00E42E74"/>
    <w:sectPr w:rsidR="00E4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54"/>
    <w:rsid w:val="00740754"/>
    <w:rsid w:val="00767E58"/>
    <w:rsid w:val="00E4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484E2-8E76-41E4-9E65-80ED9C98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7E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rsid w:val="00767E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imbus Mono L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2019-01-23T14:08:00Z</dcterms:created>
  <dcterms:modified xsi:type="dcterms:W3CDTF">2019-01-23T14:08:00Z</dcterms:modified>
</cp:coreProperties>
</file>