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05" w:rsidRDefault="001809D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МБОУДО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«Центр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ДШИ»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Шварцевская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ДШИ</w:t>
      </w:r>
    </w:p>
    <w:p w:rsidR="00945905" w:rsidRDefault="0094590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945905" w:rsidRDefault="005B3AE3">
      <w:pPr>
        <w:pStyle w:val="Standard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Методическое </w:t>
      </w:r>
      <w:r w:rsidR="001809DD">
        <w:rPr>
          <w:rFonts w:ascii="Times New Roman" w:hAnsi="Times New Roman"/>
          <w:sz w:val="36"/>
          <w:szCs w:val="36"/>
        </w:rPr>
        <w:t>сообщение</w:t>
      </w:r>
    </w:p>
    <w:p w:rsidR="00945905" w:rsidRDefault="00945905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945905" w:rsidRDefault="005B3AE3">
      <w:pPr>
        <w:pStyle w:val="Standard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«Женский образ в народной </w:t>
      </w:r>
      <w:r w:rsidR="001809DD">
        <w:rPr>
          <w:rFonts w:ascii="Times New Roman" w:hAnsi="Times New Roman"/>
          <w:sz w:val="36"/>
          <w:szCs w:val="36"/>
        </w:rPr>
        <w:t>игрушке»</w:t>
      </w:r>
    </w:p>
    <w:p w:rsidR="00945905" w:rsidRDefault="00945905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945905" w:rsidRDefault="00945905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945905" w:rsidRDefault="001809DD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</w:p>
    <w:p w:rsidR="00945905" w:rsidRDefault="001809DD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декоративно-прикладного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</w:t>
      </w:r>
    </w:p>
    <w:p w:rsidR="00945905" w:rsidRDefault="001809DD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Синицына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Владимировна</w:t>
      </w:r>
    </w:p>
    <w:p w:rsidR="00945905" w:rsidRDefault="0094590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945905" w:rsidRDefault="0094590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945905" w:rsidRDefault="001809D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5B3AE3" w:rsidRPr="0034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Шварцевский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</w:p>
    <w:p w:rsidR="00945905" w:rsidRDefault="0094590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«Народное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искусство – это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творчество, определяемое исторической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памятью.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родовая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память, воплощённая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образах,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связывает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культурным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прошлым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народа.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остоянно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воспроизводит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ценностное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классовость,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 степень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прогресса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судьбы народного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искусства. 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культурным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ценнос</w:t>
      </w:r>
      <w:r>
        <w:rPr>
          <w:rFonts w:ascii="Times New Roman" w:hAnsi="Times New Roman"/>
          <w:sz w:val="28"/>
          <w:szCs w:val="28"/>
        </w:rPr>
        <w:t>тям, 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духовному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прошлого.» (Искусствовед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М.А.Некрасова)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образах-типах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народном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материализована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память,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проносит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красоте, добре, 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торжестве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гармонии.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постепе</w:t>
      </w:r>
      <w:r>
        <w:rPr>
          <w:rFonts w:ascii="Times New Roman" w:hAnsi="Times New Roman"/>
          <w:sz w:val="28"/>
          <w:szCs w:val="28"/>
        </w:rPr>
        <w:t>нно, выкристаллизовываются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ёмкие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пластические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образы,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сохранившие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эстетическую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сегодняшний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игрушка-это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выразительный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образ-тип,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созданный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простейшими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лепки. 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универсальности самого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создания глиняной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отчасти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кроется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сходства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аналогичных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народов.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сюжетах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игрушек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пластической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трактовке,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хотя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</w:t>
      </w:r>
      <w:r>
        <w:rPr>
          <w:rFonts w:ascii="Times New Roman" w:hAnsi="Times New Roman"/>
          <w:sz w:val="28"/>
          <w:szCs w:val="28"/>
        </w:rPr>
        <w:t>ы пропорции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орнаментации.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народов,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глиняной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многократно варьировались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изготовления,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никогда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повторяясь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буквально.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Известный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исследовател</w:t>
      </w:r>
      <w:r>
        <w:rPr>
          <w:rFonts w:ascii="Times New Roman" w:hAnsi="Times New Roman"/>
          <w:sz w:val="28"/>
          <w:szCs w:val="28"/>
        </w:rPr>
        <w:t>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глиняной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Л.А. Динцес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считал,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глубокой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древности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воплощала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языческих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верований.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«Тематика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игрушки, – писал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он, – имеет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глубокие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корни,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таятся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древних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дохристианских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славянского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</w:t>
      </w:r>
      <w:r>
        <w:rPr>
          <w:rFonts w:ascii="Times New Roman" w:hAnsi="Times New Roman"/>
          <w:sz w:val="28"/>
          <w:szCs w:val="28"/>
        </w:rPr>
        <w:t>та».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Женская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фигура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олицетворяла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сыру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землю,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Великую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богиню –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Природу;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кони-великое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Светило,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дарующее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тепло;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птицы-стихию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воздуха,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связывающую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землю.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Массовое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глиняных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фигурок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приурочивалось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праздникам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сева,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жатвы,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урожая.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древних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обрядов.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наделяли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охранять,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оберегать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всякого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зла.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Яркий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пронзительный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свист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играли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магическую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Русская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глиняная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дает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отголоски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древних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культовых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представлений.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центров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 – Курской,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Воронежской,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Орловской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типичны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фигурки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женщин,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держащих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руках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птиц.</w:t>
      </w:r>
      <w:r>
        <w:rPr>
          <w:rFonts w:ascii="Times New Roman" w:hAnsi="Times New Roman"/>
          <w:sz w:val="28"/>
          <w:szCs w:val="28"/>
        </w:rPr>
        <w:t xml:space="preserve"> Фигурки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статичны,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фронтальны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обобщены.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Крайней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простоте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раскраски-простейшими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пятнами, кругами, полосами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прямо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естественного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обожжённой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глины.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игрушках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нашла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</w:t>
      </w:r>
      <w:r>
        <w:rPr>
          <w:rFonts w:ascii="Times New Roman" w:hAnsi="Times New Roman"/>
          <w:sz w:val="28"/>
          <w:szCs w:val="28"/>
        </w:rPr>
        <w:t>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исконная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крестьянина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кормилицей-землей,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олицетворение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плодородия. От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веет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глубокой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архаикой,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первозданной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древних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символов.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изготавливали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плотницкие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игрушки-куклы-панки.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Слегка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обтёсанные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топором,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выразительные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объемах,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сохраняют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деревянного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бруска.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Каргопольскую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изготавливают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Каргополь, Архангельской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северными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традициями,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лебопашеством,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земли.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случайно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персонажей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преобладают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изображения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женщин.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обнаженной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грудью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кормят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руках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миски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хлебом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птиц.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Идея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кормления,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плодородия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орнаментальных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мотивах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передниках- 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настойчивом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повторении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овалов,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напоминающих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зерна, 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изображении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вспаханного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поля,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словно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орошаемого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дождем,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сочетании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прямых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волнистых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линий.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Роспись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карго</w:t>
      </w:r>
      <w:r>
        <w:rPr>
          <w:rFonts w:ascii="Times New Roman" w:hAnsi="Times New Roman"/>
          <w:sz w:val="28"/>
          <w:szCs w:val="28"/>
        </w:rPr>
        <w:t>польской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своеобразна,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пластика.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цветовая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гамма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северному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сдержана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сурова.</w:t>
      </w:r>
    </w:p>
    <w:p w:rsidR="00945905" w:rsidRDefault="005B3AE3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Самая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знаменитая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игрушка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России -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дымковская,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Киров.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связана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праздником-ярмаркой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«Свистуньей»,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прово</w:t>
      </w:r>
      <w:r w:rsidR="001809DD">
        <w:rPr>
          <w:rFonts w:ascii="Times New Roman" w:hAnsi="Times New Roman"/>
          <w:sz w:val="28"/>
          <w:szCs w:val="28"/>
        </w:rPr>
        <w:t>дилась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Вятке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подряд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продолжался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свист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веселье.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условности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дымковская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выразительна.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Статичные,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достоинства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фигурки,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забавн</w:t>
      </w:r>
      <w:r>
        <w:rPr>
          <w:rFonts w:ascii="Times New Roman" w:hAnsi="Times New Roman"/>
          <w:sz w:val="28"/>
          <w:szCs w:val="28"/>
        </w:rPr>
        <w:t>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праздность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барыни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величественность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нарядной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кормилицы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кокошнике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оборчатом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переднике.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украшены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многочисленными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налепными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деталями,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придают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изделиям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особую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пышность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праздничност</w:t>
      </w:r>
      <w:r>
        <w:rPr>
          <w:rFonts w:ascii="Times New Roman" w:hAnsi="Times New Roman"/>
          <w:sz w:val="28"/>
          <w:szCs w:val="28"/>
        </w:rPr>
        <w:t>ь.</w:t>
      </w:r>
    </w:p>
    <w:p w:rsidR="00945905" w:rsidRDefault="005B3AE3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Филимоновская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игрушка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деревни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Филимоново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Тульской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прославилась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бладаря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местной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пластичной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глине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«синике». Эти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игрушки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трудно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спутать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какими-либо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другими.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удлиненные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пропорции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яркую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окраску.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барынь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обычно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высокие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юбки-колоколом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расширением книзу,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создающим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устойчивое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фигурки.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юбкой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верхняя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туловища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кажется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маленькой.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уравновешивают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фигуркой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руках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св</w:t>
      </w:r>
      <w:r w:rsidR="001809DD">
        <w:rPr>
          <w:rFonts w:ascii="Times New Roman" w:hAnsi="Times New Roman"/>
          <w:sz w:val="28"/>
          <w:szCs w:val="28"/>
        </w:rPr>
        <w:t>истулькой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мышкой. У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крестьянок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колокол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юбки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прямой,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линии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соответствуют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очертаниям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крестьянской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одежды.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голове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вместо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шляпки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нередко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повойник-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характерный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убор.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чаще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уках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птиц.</w:t>
      </w:r>
    </w:p>
    <w:p w:rsidR="00945905" w:rsidRDefault="005B3AE3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Наши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местные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загадочные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тульские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барыни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зонтиками,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появившиеся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в слободе Большие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Гончары-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искусство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сложное,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вобравшее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черты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культуры. 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сюжетов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тульской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игрушки- барыни,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няни,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кормил</w:t>
      </w:r>
      <w:r w:rsidR="001809DD">
        <w:rPr>
          <w:rFonts w:ascii="Times New Roman" w:hAnsi="Times New Roman"/>
          <w:sz w:val="28"/>
          <w:szCs w:val="28"/>
        </w:rPr>
        <w:t>ицы.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фигурки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традиционно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фронтальны.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Условность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конической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сочетается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тонкой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передачей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пластики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женского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силуэта,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стройного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изящного.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игрушки,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декоративные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статуэтки.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Мастера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тщательн</w:t>
      </w:r>
      <w:r w:rsidR="001809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передают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красоту широкого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платья, украшают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рядами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лепных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оборок,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рисованными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бантами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кружевами.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росписи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пастельные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зеленоватые,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голубые,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розовые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34565D">
        <w:rPr>
          <w:rFonts w:ascii="Times New Roman" w:hAnsi="Times New Roman"/>
          <w:sz w:val="28"/>
          <w:szCs w:val="28"/>
        </w:rPr>
        <w:t>тона</w:t>
      </w:r>
      <w:r w:rsidR="001809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подчеркивают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пластику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1809DD">
        <w:rPr>
          <w:rFonts w:ascii="Times New Roman" w:hAnsi="Times New Roman"/>
          <w:sz w:val="28"/>
          <w:szCs w:val="28"/>
        </w:rPr>
        <w:t>игрушки.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центров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глиняной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отличается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своими особенностями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демонстрирует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женский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34565D" w:rsidRPr="0034565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барыни,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несет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черты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промысла.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2005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базе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Шварц</w:t>
      </w:r>
      <w:r>
        <w:rPr>
          <w:rFonts w:ascii="Times New Roman" w:hAnsi="Times New Roman"/>
          <w:sz w:val="28"/>
          <w:szCs w:val="28"/>
        </w:rPr>
        <w:t>евской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ДШИ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«Основы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декоративно-прикладного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искусства»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специализациями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«Художественная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роспись»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«Керамика».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народными художественными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промыслами.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урса: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-овладение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навыками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традиционной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обработки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глины;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-содействие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всестороннему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гармоничному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школьников;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воображения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</w:t>
      </w:r>
      <w:r>
        <w:rPr>
          <w:rFonts w:ascii="Times New Roman" w:hAnsi="Times New Roman"/>
          <w:sz w:val="28"/>
          <w:szCs w:val="28"/>
        </w:rPr>
        <w:t>сти.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рассчитан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 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разделы,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особенностям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обработки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глины.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разделе «Народные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промыслы»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знакомятся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известными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производства,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развития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состоянием.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Акцент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делается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тульских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сувениров, филимоновской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тульской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глиняной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богатой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замысел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учащегося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лепки,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обогащаю</w:t>
      </w:r>
      <w:r>
        <w:rPr>
          <w:rFonts w:ascii="Times New Roman" w:hAnsi="Times New Roman"/>
          <w:sz w:val="28"/>
          <w:szCs w:val="28"/>
        </w:rPr>
        <w:t>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окружающем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мире,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положительное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композиционное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построение.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разнообразна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стилю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лепить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стилях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понимании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учащимися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пластических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различий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изображении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глиняной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игрушки: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Каргополь,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Дымково,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Филимоново,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Тула.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Постепенно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деревенской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каргопольской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переходят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образам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ярмарочной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дымковской,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звуковой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филимоновской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заканчивают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тульской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статуэткой. Уроки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делятся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уроки- беседы,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уроки-эскизирования,</w:t>
      </w:r>
      <w:r w:rsidR="0034565D" w:rsidRPr="0034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уроки,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боте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росписи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обожженных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изделий.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глиняной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изучении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керамических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промыслов.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уроках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знакомятся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возникновения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промысла</w:t>
      </w:r>
      <w:r>
        <w:rPr>
          <w:rFonts w:ascii="Times New Roman" w:hAnsi="Times New Roman"/>
          <w:sz w:val="28"/>
          <w:szCs w:val="28"/>
        </w:rPr>
        <w:t>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изучают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тематику,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творчество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мастеров- игрушечников.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обогащаются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просмотром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слайдов,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образцов,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экскурсий. Школьники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различать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стилю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манере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отличать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промысла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другого.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эскизирования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игрушек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предшествуют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лепке.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проанализировать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конкретную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изучить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потренироваться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орнаментальных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мотивов.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Уроки,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</w:t>
      </w:r>
      <w:r>
        <w:rPr>
          <w:rFonts w:ascii="Times New Roman" w:hAnsi="Times New Roman"/>
          <w:sz w:val="28"/>
          <w:szCs w:val="28"/>
        </w:rPr>
        <w:t>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лепке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наглядном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учителем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последовательности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учащимися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образца.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росписи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обожженных работ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завершением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тогом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уроков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элементов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орнамента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аккуратно расписывать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конкретного промысла.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разделе «Особенности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осписи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материалов»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2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знакомятся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росписи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деревянных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игрушек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традиционной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матрешки,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красавицы.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росписи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наиболее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явно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просл</w:t>
      </w:r>
      <w:r>
        <w:rPr>
          <w:rFonts w:ascii="Times New Roman" w:hAnsi="Times New Roman"/>
          <w:sz w:val="28"/>
          <w:szCs w:val="28"/>
        </w:rPr>
        <w:t>еживается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стилизация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женского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костюма.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сравнительный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матрешек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Полхов-Майдана,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Семёнова,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Сергиева-Посада,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росписи.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входят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упражнен</w:t>
      </w:r>
      <w:r>
        <w:rPr>
          <w:rFonts w:ascii="Times New Roman" w:hAnsi="Times New Roman"/>
          <w:sz w:val="28"/>
          <w:szCs w:val="28"/>
        </w:rPr>
        <w:t>ия,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зарисовка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традиционных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мотивов,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композиций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роспись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деревянных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изделий.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Конец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обучения- 4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Учащимся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выбрать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наиболее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заинтересо</w:t>
      </w:r>
      <w:r>
        <w:rPr>
          <w:rFonts w:ascii="Times New Roman" w:hAnsi="Times New Roman"/>
          <w:sz w:val="28"/>
          <w:szCs w:val="28"/>
        </w:rPr>
        <w:t>вавшую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понравившуюся.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мотивам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выбранного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промысла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практическую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реферат.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выполняется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технологического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промысла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хнологией,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приспособленной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школьным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условиям.</w:t>
      </w:r>
      <w:r w:rsidR="005B3AE3">
        <w:rPr>
          <w:rFonts w:ascii="Times New Roman" w:hAnsi="Times New Roman"/>
          <w:sz w:val="28"/>
          <w:szCs w:val="28"/>
        </w:rPr>
        <w:t xml:space="preserve"> 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12-летней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сделанные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выпускниками.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комплекты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деревянных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изделий,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наборы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5-местных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матрешек,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глиняные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ушки, выполненные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стиле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промысла. 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овладевают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приемами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обработки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материала.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познают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декора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формой,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назначением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 также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межрегиональном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«Филимоновское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чудо»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проходит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участии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Одоевского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музея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«Филимоновская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игрушка»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декоративно-п</w:t>
      </w:r>
      <w:r>
        <w:rPr>
          <w:rFonts w:ascii="Times New Roman" w:hAnsi="Times New Roman"/>
          <w:sz w:val="28"/>
          <w:szCs w:val="28"/>
        </w:rPr>
        <w:t>рикладного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Королева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Наталья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Темченко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Ирина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заняли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номинации</w:t>
      </w:r>
      <w:r w:rsidR="005B3AE3">
        <w:rPr>
          <w:rFonts w:ascii="Times New Roman" w:hAnsi="Times New Roman"/>
          <w:sz w:val="28"/>
          <w:szCs w:val="28"/>
        </w:rPr>
        <w:t xml:space="preserve"> 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«Филимоновская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фантазия».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восприятия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народная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игрушка-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незаменимый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образец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лепки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росписи</w:t>
      </w:r>
      <w:r>
        <w:rPr>
          <w:rFonts w:ascii="Times New Roman" w:hAnsi="Times New Roman"/>
          <w:sz w:val="28"/>
          <w:szCs w:val="28"/>
        </w:rPr>
        <w:t>:</w:t>
      </w:r>
      <w:r w:rsidR="0034565D" w:rsidRPr="0034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точнос</w:t>
      </w:r>
      <w:r>
        <w:rPr>
          <w:rFonts w:ascii="Times New Roman" w:hAnsi="Times New Roman"/>
          <w:sz w:val="28"/>
          <w:szCs w:val="28"/>
        </w:rPr>
        <w:t>ть пластических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приемов, компактность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красота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узоров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близка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детскому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восприятию.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протяжении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женщины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занимались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изготовлением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стараясь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привнести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неё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частичку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тепла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красоты, 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помощью нарисованных солярных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знаков,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ярких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красок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звуков,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служили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оберегами</w:t>
      </w:r>
      <w:r>
        <w:rPr>
          <w:rFonts w:ascii="Times New Roman" w:hAnsi="Times New Roman"/>
          <w:sz w:val="28"/>
          <w:szCs w:val="28"/>
        </w:rPr>
        <w:t>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пожелания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счастья 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близким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родным.</w:t>
      </w:r>
    </w:p>
    <w:p w:rsidR="00945905" w:rsidRDefault="001809DD" w:rsidP="0034565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удивительный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женщины – богини, передававшийся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поколения 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поколение,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связанный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плодородием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урожаем,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достатком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благополучием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семье своей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лаконичностью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выразительностью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перестает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восхищать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служит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образцом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подлинного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сегодняшний</w:t>
      </w:r>
      <w:r w:rsidR="005B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sectPr w:rsidR="009459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DD" w:rsidRDefault="001809DD">
      <w:r>
        <w:separator/>
      </w:r>
    </w:p>
  </w:endnote>
  <w:endnote w:type="continuationSeparator" w:id="0">
    <w:p w:rsidR="001809DD" w:rsidRDefault="0018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DD" w:rsidRDefault="001809DD">
      <w:r>
        <w:rPr>
          <w:color w:val="000000"/>
        </w:rPr>
        <w:separator/>
      </w:r>
    </w:p>
  </w:footnote>
  <w:footnote w:type="continuationSeparator" w:id="0">
    <w:p w:rsidR="001809DD" w:rsidRDefault="00180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45905"/>
    <w:rsid w:val="001809DD"/>
    <w:rsid w:val="0034565D"/>
    <w:rsid w:val="005B3AE3"/>
    <w:rsid w:val="009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4D92B-CADE-4213-BB85-1CB081B4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CRKT2</cp:lastModifiedBy>
  <cp:revision>3</cp:revision>
  <dcterms:created xsi:type="dcterms:W3CDTF">2019-01-23T11:41:00Z</dcterms:created>
  <dcterms:modified xsi:type="dcterms:W3CDTF">2019-01-23T11:43:00Z</dcterms:modified>
</cp:coreProperties>
</file>